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C" w:rsidRPr="00665AC6" w:rsidRDefault="003E3DFC" w:rsidP="003E3DFC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AC6">
        <w:rPr>
          <w:rFonts w:ascii="Times New Roman" w:eastAsia="Calibri" w:hAnsi="Times New Roman" w:cs="Times New Roman"/>
          <w:b/>
          <w:sz w:val="28"/>
          <w:szCs w:val="28"/>
        </w:rPr>
        <w:t>ПОГОДЖЕНО                                                       ЗАТВЕРДЖЕНО</w:t>
      </w:r>
    </w:p>
    <w:p w:rsidR="003E3DFC" w:rsidRPr="00665AC6" w:rsidRDefault="003E3DFC" w:rsidP="003E3DFC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AC6">
        <w:rPr>
          <w:rFonts w:ascii="Times New Roman" w:eastAsia="Calibri" w:hAnsi="Times New Roman" w:cs="Times New Roman"/>
          <w:sz w:val="28"/>
          <w:szCs w:val="28"/>
        </w:rPr>
        <w:t>Рішенням педагогічної ради                                  Директор школи</w:t>
      </w:r>
    </w:p>
    <w:p w:rsidR="003E3DFC" w:rsidRPr="00665AC6" w:rsidRDefault="003E3DFC" w:rsidP="003E3DFC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    від  31.08.2021</w:t>
      </w:r>
      <w:r w:rsidRPr="00665AC6">
        <w:rPr>
          <w:rFonts w:ascii="Times New Roman" w:eastAsia="Calibri" w:hAnsi="Times New Roman" w:cs="Times New Roman"/>
          <w:sz w:val="28"/>
          <w:szCs w:val="28"/>
        </w:rPr>
        <w:t xml:space="preserve"> р.                          ____________Г.В. </w:t>
      </w:r>
      <w:proofErr w:type="spellStart"/>
      <w:r w:rsidRPr="00665AC6">
        <w:rPr>
          <w:rFonts w:ascii="Times New Roman" w:eastAsia="Calibri" w:hAnsi="Times New Roman" w:cs="Times New Roman"/>
          <w:sz w:val="28"/>
          <w:szCs w:val="28"/>
        </w:rPr>
        <w:t>Огоновська</w:t>
      </w:r>
      <w:proofErr w:type="spellEnd"/>
    </w:p>
    <w:p w:rsidR="003E3DFC" w:rsidRPr="00665AC6" w:rsidRDefault="003E3DFC" w:rsidP="003E3DFC">
      <w:pPr>
        <w:spacing w:after="0" w:line="36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Наказ №02-о/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від 31.08.2021</w:t>
      </w:r>
      <w:r w:rsidRPr="00665AC6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3E3DFC" w:rsidRPr="00665AC6" w:rsidRDefault="003E3DFC" w:rsidP="003E3DFC">
      <w:pPr>
        <w:tabs>
          <w:tab w:val="left" w:pos="3242"/>
        </w:tabs>
        <w:spacing w:after="0" w:line="360" w:lineRule="auto"/>
        <w:ind w:right="85"/>
        <w:rPr>
          <w:rFonts w:ascii="Times New Roman" w:eastAsia="Calibri" w:hAnsi="Times New Roman" w:cs="Times New Roman"/>
          <w:b/>
          <w:bCs/>
          <w:sz w:val="96"/>
          <w:szCs w:val="28"/>
        </w:rPr>
      </w:pPr>
      <w:r w:rsidRPr="00665AC6">
        <w:rPr>
          <w:rFonts w:ascii="Times New Roman" w:eastAsia="Calibri" w:hAnsi="Times New Roman" w:cs="Times New Roman"/>
          <w:b/>
          <w:bCs/>
          <w:sz w:val="96"/>
          <w:szCs w:val="28"/>
        </w:rPr>
        <w:tab/>
      </w:r>
    </w:p>
    <w:p w:rsidR="00D33DB7" w:rsidRPr="00D33DB7" w:rsidRDefault="00D33DB7" w:rsidP="00213F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21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D33DB7" w:rsidP="0007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ПОЛОЖЕН</w:t>
      </w:r>
      <w:r w:rsidR="00213F51"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НЯ</w:t>
      </w:r>
      <w:r w:rsidR="00213F51"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br/>
        <w:t>про ресурсну кімнату Миколаївс</w:t>
      </w: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ької </w:t>
      </w:r>
    </w:p>
    <w:p w:rsidR="0007209F" w:rsidRDefault="00D33DB7" w:rsidP="0007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загальноосвітньої школи</w:t>
      </w:r>
      <w:r w:rsidR="0007209F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</w:t>
      </w: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І-ІІІ ступенів</w:t>
      </w:r>
      <w:r w:rsid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</w:t>
      </w:r>
      <w:r w:rsidR="00213F51"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№ 1 </w:t>
      </w:r>
    </w:p>
    <w:p w:rsidR="00775DF3" w:rsidRDefault="00213F51" w:rsidP="0007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Миколаївської міської </w:t>
      </w:r>
      <w:r w:rsidR="00D33DB7"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ради</w:t>
      </w: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</w:t>
      </w:r>
    </w:p>
    <w:p w:rsidR="00D33DB7" w:rsidRPr="00775DF3" w:rsidRDefault="00213F51" w:rsidP="0007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proofErr w:type="spellStart"/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Стрийського</w:t>
      </w:r>
      <w:proofErr w:type="spellEnd"/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району Льві</w:t>
      </w:r>
      <w:r w:rsidR="00D33DB7"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вської області</w:t>
      </w: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3E3DFC" w:rsidRDefault="003E3DFC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</w:p>
    <w:p w:rsidR="00D33DB7" w:rsidRPr="00775DF3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І. Загальні положення</w:t>
      </w:r>
    </w:p>
    <w:p w:rsidR="00D33DB7" w:rsidRPr="00D33DB7" w:rsidRDefault="00D33DB7" w:rsidP="0021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1. Це Положення визначає порядок утворення та припинення, основні засади діяльності ресурсної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кімнати 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Миколаївс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ької загальноосвітньої школи І-ІІІ ступенів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№ 1 Миколаївської міської 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ради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proofErr w:type="spellStart"/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Стрийського</w:t>
      </w:r>
      <w:proofErr w:type="spellEnd"/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району Льві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вської області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. Ресурсна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кімната—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це спеціально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облаштоване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приміщення, призначене для проведення групових психолого-педагогічних занять під час організації роботи з дітьми з особливими освітніми потребами.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2. Для організації процесу навчання учнів з особливими освітніми потребами у закладі, що забезпечує здобуття повної загальної середньої освіти, облаштовуються ресурсні кімнати та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медіатеки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за рахунок коштів державного та/або місцевих бюджетів, а також за рахунок інших джерел, не заборонених законодавством.</w:t>
      </w:r>
    </w:p>
    <w:p w:rsidR="00D33DB7" w:rsidRPr="00D33DB7" w:rsidRDefault="00D33DB7" w:rsidP="0021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 Положення про ресурсну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кімнату 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Миколаївс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ької загальноосвітньої школи І-ІІІ ступенів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№ 1 Миколаївської міської 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ради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proofErr w:type="spellStart"/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Стрийського</w:t>
      </w:r>
      <w:proofErr w:type="spellEnd"/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району Львівської </w:t>
      </w:r>
      <w:r w:rsidR="00213F51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області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(далі – ресурсна кімната) роз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роблено відповідно до Конвенції про права осіб з інвалідністю, законів України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«Про осві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ту»,«Про повну загальну середню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освіту», інших актів законодавства.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4. Дія цього Положення поши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рюється на ресурсну кімнату, що існує і створена в закла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ді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гальної середньої освіти.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 Це Положення визначає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гальні та спеціальні вимоги до матеріально-технічного осна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щення ресурсної кімнати згідно із санітар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но-гігієнічними правилами та нормами і є обов'язковим для їх організації в закла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ді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гальної середньої освіти (далі - ЗЗСО) незалежно від типу та форми власності.</w:t>
      </w:r>
    </w:p>
    <w:p w:rsidR="00D33DB7" w:rsidRPr="00775DF3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ІІ. Призначення ресурсної кімнати: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2.1. Основна мета створення ресурсної кімнати полягає для організації процесу навчання учнів з особливими освітніми потребами у закладі, у забезпеченні оптимальних умов для організації навчально-виховного, реабілітаційного процесів та реалізації завдань відповідно до постанови Кабміну України від 22 серпня 2018 р. № 617 «Деякі питання створення ресурсних центрів підтримки інклюзивної освіти та інклюзивно-ресурсних центрів».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2.2. Завданням функціонування ресурсної кімнати є ство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рення спеціально організованого освітнього простору, який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дає змогу дитині з особливими освітніми потребами (далі ООП) реалізувати:</w:t>
      </w:r>
    </w:p>
    <w:p w:rsidR="00D33DB7" w:rsidRDefault="00D33DB7" w:rsidP="00213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своє право на освіту;</w:t>
      </w:r>
    </w:p>
    <w:p w:rsidR="00213F51" w:rsidRDefault="00D33DB7" w:rsidP="00D33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максимально розкрити освітній і особистісний потенціал;</w:t>
      </w:r>
    </w:p>
    <w:p w:rsidR="00D33DB7" w:rsidRPr="00213F51" w:rsidRDefault="00D33DB7" w:rsidP="00D33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подолати бар’єри соціалізації.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Навчання та перебування у ресурсній кімнаті базується:</w:t>
      </w:r>
    </w:p>
    <w:p w:rsidR="00213F51" w:rsidRDefault="00D33DB7" w:rsidP="00D33D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 індивідуальних потребах учня з ООП;</w:t>
      </w:r>
    </w:p>
    <w:p w:rsidR="00213F51" w:rsidRDefault="00D33DB7" w:rsidP="00D33D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 меті залучення, або пер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ехід дитини до звичайного класу;</w:t>
      </w:r>
    </w:p>
    <w:p w:rsidR="00D33DB7" w:rsidRPr="00213F51" w:rsidRDefault="00D33DB7" w:rsidP="00D33D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 усунення факторів, що перешкоджають навчанню у загальноосвітньому класі.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Навчання в ресурсній кімнаті дає можливість:</w:t>
      </w:r>
    </w:p>
    <w:p w:rsidR="00213F51" w:rsidRDefault="00D33DB7" w:rsidP="00D33D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займатися з </w:t>
      </w:r>
      <w:proofErr w:type="spellStart"/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корекційним</w:t>
      </w:r>
      <w:proofErr w:type="spellEnd"/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педагогом та дефектологом, практичним психологом, вчителем лікувальної фізичної культури, іншими фахівцями;</w:t>
      </w:r>
    </w:p>
    <w:p w:rsidR="00213F51" w:rsidRDefault="00D33DB7" w:rsidP="00D33D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працювати за власним адаптаційним графіком;</w:t>
      </w:r>
    </w:p>
    <w:p w:rsidR="00D33DB7" w:rsidRPr="00213F51" w:rsidRDefault="00D33DB7" w:rsidP="00D33D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lastRenderedPageBreak/>
        <w:t>розвивати життєві навички, вчи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тися, відпочивати, гратися тощо.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Ресурсна кімната (допоміжна навчальна кімната):</w:t>
      </w:r>
    </w:p>
    <w:p w:rsidR="00213F51" w:rsidRDefault="00D33DB7" w:rsidP="00D33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допомагає ефективно адаптувати дітей з ООП до навчання у регулярних класах школи;</w:t>
      </w:r>
    </w:p>
    <w:p w:rsidR="00D33DB7" w:rsidRPr="00213F51" w:rsidRDefault="00D33DB7" w:rsidP="00D33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надає можливість навчання разом з усіма дітьми.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2.3.Перед початком навчаль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ного року проводиться огляд ресурсної кімнати з метою визначення ста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ну готовності її до проведення занять та поновлення, поповнення засобів корекції для осіб з особливими освітніми потребами (відповідно до нозологій).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2.4. Ресурсна кімната - це окремий кабінет, який розміщений у приміщенні ЗЗСО та пристосований для дітей з особливими освітніми потребами, відповідно до вимог законодавства, у тому числі державних санітарних норм і правил та державних будівельних норм(ДБН В.2.2-40:208 «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Інклюзивність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будівель і споруд»). Кабінет має загальну площу 40-60 та є 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полі функціональним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— використовуватися по-різному залежно від мети діяльності.</w:t>
      </w:r>
    </w:p>
    <w:p w:rsidR="00D33DB7" w:rsidRPr="00775DF3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ІІІ. Матеріально-технічне забез</w:t>
      </w: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softHyphen/>
        <w:t>печення ресурсної кімнати</w:t>
      </w:r>
      <w:r w:rsid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: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3.1. Комплектація ресурсної кімнати обладнанням здійснюється відповідно до Типового переліку спеціальних засобів корекції психофізичного розвитку дітей з особливими освітніми потребами, які навчаються в</w:t>
      </w:r>
      <w:r w:rsidR="003E3DFC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інклюзивних та спеціальних класах закладів загальної середньої освіти, затвердженого наказом МОН</w:t>
      </w:r>
      <w:r w:rsidR="003E3DFC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України 23.04.2018 № 414. 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3.2. Меблі, технічне обладнання та їх роз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міщення в ресурсній кімнаті мають відповідати санітарно - гігієніч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ним правилам, нормам, Типовому переліку. У Типовому переліку виокремлено:</w:t>
      </w:r>
    </w:p>
    <w:p w:rsidR="00D33DB7" w:rsidRDefault="00D33DB7" w:rsidP="00213F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меблі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213F51" w:rsidRDefault="00D33DB7" w:rsidP="00D33D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технічне обладнання</w:t>
      </w:r>
      <w:r w:rsid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D33D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додаткове обладнання.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3.3. У ресурсній кімнаті можна організувати відповідні функціональні зони, щоб залежно від індивідуальних потреб дитина могла:</w:t>
      </w:r>
    </w:p>
    <w:p w:rsidR="00213F51" w:rsidRDefault="00D33DB7" w:rsidP="00D33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відпочити;</w:t>
      </w:r>
    </w:p>
    <w:p w:rsidR="00D33DB7" w:rsidRPr="00213F51" w:rsidRDefault="00D33DB7" w:rsidP="00D33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продовжити заняття індивідуально чи в маленькій групі.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3.4. Простір приміщення ресурсної кімнати може бути поділено за допомогою стаціонарної меблевої перегородки на дві зони: навчально-пізнавальну та побутово-практичну. У першій зоні може здійснюватись процес навчання у групах або індивідуально. У другій зоні створюється простір, який виконує функції кухні та їдальні. Тут діти з особливими освітніми потребами під наглядом педагогів або з їхньою допомогою набувають навичок самообслуговування, які допоможуть їм адаптуватись у соціумі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3.5. Ресурсна кімната може мати такі зони:</w:t>
      </w:r>
    </w:p>
    <w:p w:rsidR="00D33DB7" w:rsidRPr="00213F51" w:rsidRDefault="00D33DB7" w:rsidP="0021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навчальна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рухова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ігрова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діагностична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соціально-побутова.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Матеріали:</w:t>
      </w:r>
    </w:p>
    <w:p w:rsidR="00D33DB7" w:rsidRPr="00213F51" w:rsidRDefault="00D33DB7" w:rsidP="00213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іграшки з реального життя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lastRenderedPageBreak/>
        <w:t>іграшки, які допомагають відреагувати на агресію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іграшки для творчості, самовираження та ослаблення емоцій дитини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модульні меблі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;</w:t>
      </w:r>
    </w:p>
    <w:p w:rsidR="00D33DB7" w:rsidRPr="00213F51" w:rsidRDefault="00D33DB7" w:rsidP="00213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213F51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інше за потребою.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3.6. Місця зберігання засобів навчання нумеруються і познача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ються назвами на етикетках, що заносяться до інвентарної книги.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3.7. Усі матеріальні цінності ресурсної кімнати обліковуються в інвен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тарній книзі встановленого зраз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ка, яка повинна бути прошнуро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 xml:space="preserve">вана, пронумерована та </w:t>
      </w:r>
      <w:r w:rsidR="003E3DFC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скріпле</w:t>
      </w:r>
      <w:r w:rsidR="003E3DFC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на печаткою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3.8. Облік та списання мо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рально та фізично застарілого обладнання, навчально-наочних посібників проводиться відповід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но до інструкцій, затверджених Міністерством фінансів України.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3.9. Ресурсна кімната повинна відповідати Вимогам пожежної безпе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ки для всіх навчальних при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міщень.</w:t>
      </w:r>
    </w:p>
    <w:p w:rsidR="00D33DB7" w:rsidRPr="005525FE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>3.10. У ресурсній кімнаті потрібно дотримуватись Правил пожежної безпеки для навчальних закладів та установ системи освіти України, які затверджені наказом МОН України від 15.08.2016 № 974.</w:t>
      </w:r>
    </w:p>
    <w:p w:rsidR="00D33DB7" w:rsidRPr="00775DF3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uk-UA"/>
        </w:rPr>
        <w:t>IV. Навчально-методичне забез</w:t>
      </w:r>
      <w:r w:rsidRPr="00775DF3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uk-UA"/>
        </w:rPr>
        <w:softHyphen/>
        <w:t>печення ресурсної кімнати:</w:t>
      </w:r>
    </w:p>
    <w:p w:rsidR="00D33DB7" w:rsidRPr="005525FE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>4.1. Навчально-методичне за</w:t>
      </w: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softHyphen/>
        <w:t>безпечення ресурсної кімнати складаєть</w:t>
      </w: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softHyphen/>
        <w:t>ся з навчальних програм, підруч</w:t>
      </w: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softHyphen/>
        <w:t>ників, фахових журналів, навчальних та методичних посібників.</w:t>
      </w:r>
    </w:p>
    <w:p w:rsidR="00D33DB7" w:rsidRPr="005525FE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>4.2. Розподіл та збереження засобів навчання і навчального обладнання здійснюються згідно з вимогами навчальних програм за розділами.</w:t>
      </w:r>
    </w:p>
    <w:p w:rsidR="00D33DB7" w:rsidRPr="00775DF3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uk-UA"/>
        </w:rPr>
        <w:t>V. Вимоги до оформлення ресурсної кімнати:</w:t>
      </w:r>
    </w:p>
    <w:p w:rsidR="00D33DB7" w:rsidRPr="005525FE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>5.1. На вхідних дверях кабі</w:t>
      </w: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softHyphen/>
        <w:t>нету повинен бути відповідний надпис на табличці з назвою: «Ресурсна кімната». Крім того, на вхідних дверях може бути циф</w:t>
      </w: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softHyphen/>
        <w:t>рове позначення, наприклад «2».</w:t>
      </w:r>
    </w:p>
    <w:p w:rsidR="00D33DB7" w:rsidRPr="005525FE" w:rsidRDefault="00D33DB7" w:rsidP="005525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>5.2.Облаштування ресурсної кімнати здійснюється згідно з наказом МОН України від 23.04.2018 р. № 414.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5.2.1. Організація простору в ресурсній кімнаті відбувається завдяки розділенню його на зони:</w:t>
      </w:r>
    </w:p>
    <w:p w:rsidR="005525FE" w:rsidRDefault="00D33DB7" w:rsidP="00D33D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навчально-пізнавальна;</w:t>
      </w:r>
    </w:p>
    <w:p w:rsidR="00D33DB7" w:rsidRPr="005525FE" w:rsidRDefault="00D33DB7" w:rsidP="00D33D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побутово-практична.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5.3.Простір побутово-практичної зони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обладнується кухнею та їдальнею. У цій зоні діти здобувають і засвоюють навички самообслуговування, які допоможуть їм адаптуватися та інтегруватися у суспільство.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5.4. У просторі навчально-пізнавальної зони обладнується:</w:t>
      </w:r>
    </w:p>
    <w:p w:rsidR="005525FE" w:rsidRDefault="005525FE" w:rsidP="00D33D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робоче місце вчителя;</w:t>
      </w:r>
    </w:p>
    <w:p w:rsidR="005525FE" w:rsidRDefault="00D33DB7" w:rsidP="00D33D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індивідуа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льні місця для навчання (парти);</w:t>
      </w:r>
    </w:p>
    <w:p w:rsidR="005525FE" w:rsidRDefault="00D33DB7" w:rsidP="00D33D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місце для групових 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та індивідуальних занять;</w:t>
      </w:r>
    </w:p>
    <w:p w:rsidR="005525FE" w:rsidRDefault="005525FE" w:rsidP="00D33D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сенсорний куток;</w:t>
      </w:r>
    </w:p>
    <w:p w:rsidR="00D33DB7" w:rsidRPr="005525FE" w:rsidRDefault="00D33DB7" w:rsidP="00D33D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ігрова зона.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5.4.1.Робоче місце вчителя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обладнується комп’ютерним,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мультимедійним і демонстраційним оснащенням, меблями, допоміжними засобами та матеріалами.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lastRenderedPageBreak/>
        <w:t>5.4.2. Індивідуальні місця учнів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–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навчальні парти, стільці повинні регулюватись за висотою, висота має бути виставлена індивідуально для кожного учня, щоб запобігти негативному впливу на опорно-руховий апарат дитини. Для дітей з порушеннями в роботі опорно-рухового апарату застосовується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вертикалізатор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, що дає можливість учню приймати участь в усіх навчально-виховних процесах класу.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5.4.3.Місце для групових та індивідуальних занять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обладнується меблями спеціального призначення,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корекційними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засобами навчання і спеціальними тренажерами, а також столом і стільцями для групової роботи.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5.4.4.Сенсорний куток</w:t>
      </w:r>
      <w:r w:rsidR="005525FE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у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ресурсній кімнаті створюється з метою релаксації і для проведення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корекційної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роботи психолога. Використання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піскотерапії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, обладнання для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мозочкової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стимуляції, обладнання для сенсорної стимуляції дозволяє зняти психоемоційне напруження, розвивати та вдоскон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алювати сенсорні, вестибулярні й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рухові можливості дітей.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5.4.5.Ігрова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зона–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це місце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для творчості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та ігор. Куток для творчості слід наповнити мольбертами, наборами для творчості, фарбами, розмальовками, наборами для ліплення, столом, м’якими пуфами, підлогу можна застелити килимовим покриттям або вкрити м’яким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пазлом-килимком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, що дозволить гратись на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ньому.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Підбір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дидактичних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та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розвиваючих іграшок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для ресурсної кімнати необхідно здійснювати з урахуванням індивідуальних та особливих освітніх потреб учнів.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Настільні ігри, конструктори, головоломки, мозаїки, шнурівки і соціально-комунікативні іграшки сприятимуть розвитку дрібної та крупної моторики, координації рухів, логічного мислення, пам’яті, уважності і інтелектуальних можливостей учнів. Здобування нових знань, освоєння нових навичок, формування правильних еталонів найкраще діти засвоюють в ігровій формі.</w:t>
      </w:r>
    </w:p>
    <w:p w:rsidR="00D33DB7" w:rsidRPr="00775DF3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r w:rsidRPr="00775DF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VІ. Керівництво ресурсною кімнатою</w:t>
      </w:r>
      <w:r w:rsidR="0007209F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: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6.1. Роботою ресурсної кімнати керує завідувач, якого призначає, наказом по школі, ди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ректор з числа асистентів вчителя або заступника директора з навчально-виховної роботи (відповідно до посадових обов’язків).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6.2. Завідувач ресурсної кімнати несе відповідальність за упорядкування, зберігання й використання навчально-наочних посібників, обладнання, спеціальних засобів корекції психофізичного розвитку дітей з особливими освітніми потребами та інших матеріаль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них цінностей.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6.3. До обов'язків завідувача ресурсної кімнати належать:</w:t>
      </w:r>
    </w:p>
    <w:p w:rsid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складання перспективного плану оснащення ресурсної кімнати;</w:t>
      </w:r>
    </w:p>
    <w:p w:rsid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забезпечення умов для про</w:t>
      </w: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ведення занять (моделювання графіка занять; забезпечувати в кімнаті завжди вільна одна з зон);</w:t>
      </w:r>
    </w:p>
    <w:p w:rsid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сприяння оновленню та удосконаленню матеріальної бази ресурсної кімнати;</w:t>
      </w:r>
    </w:p>
    <w:p w:rsid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щороку подання керівнику навчального закладу пропозицій щодо оснащення засобами навчання та обладнанням;</w:t>
      </w:r>
    </w:p>
    <w:p w:rsid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забезпечення дотримання в ресурсній кімнаті правил електричної та пожежної безпеки, чистоти, по</w:t>
      </w: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рядку тощо;</w:t>
      </w:r>
    </w:p>
    <w:p w:rsidR="00D33DB7" w:rsidRPr="001A1A68" w:rsidRDefault="00D33DB7" w:rsidP="00D33D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систематичне ведення інвентарної книги із занесенням до неї відповідних змін про нові надходження, витрати та списан</w:t>
      </w:r>
      <w:r w:rsidRP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ня матеріальних цінностей.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lastRenderedPageBreak/>
        <w:t>6.4. Розмір посадового окла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ду (ставки заробітної плати)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відувача кабінету загальноосвітніх навчальних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кладів встановлюється згідно з чинним законодавством.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6.5. Перспективний план ос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нащення ресурсної кімнати засобами на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вчання та спеціальних засобів корекції психофізичного розвитку дітей з особливими освітніми потребами складає завідувач за погодженням з директором за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>кладу, у разі необхідності (заку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softHyphen/>
        <w:t xml:space="preserve">півля і встановлення нового складного обладнання) – з місцевим органом управління освітою, органами </w:t>
      </w:r>
      <w:proofErr w:type="spellStart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держпромнагляду</w:t>
      </w:r>
      <w:proofErr w:type="spellEnd"/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та пожежної охорони.</w:t>
      </w:r>
    </w:p>
    <w:p w:rsidR="00D33DB7" w:rsidRPr="0007209F" w:rsidRDefault="0007209F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en-US" w:eastAsia="uk-UA"/>
        </w:rPr>
        <w:t>V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ІІ</w:t>
      </w:r>
      <w:r w:rsidR="00D33DB7"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.</w:t>
      </w:r>
      <w:r w:rsidR="00D33DB7" w:rsidRPr="0007209F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>Положення</w:t>
      </w:r>
      <w:proofErr w:type="spellEnd"/>
      <w:r w:rsidR="00D33DB7" w:rsidRPr="0007209F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uk-UA"/>
        </w:rPr>
        <w:t xml:space="preserve"> розробляє заступник директора з навчально-виховної роботи (відповідно до посадових обов’язків), обговорюють та схвалюють на засіданні педагогічної ради і затверджують наказом керівника.</w:t>
      </w:r>
      <w:proofErr w:type="gramEnd"/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1A1A68" w:rsidRDefault="001A1A68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E57325" w:rsidRDefault="00E57325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3E3DFC" w:rsidRDefault="003E3DFC" w:rsidP="003E3DFC">
      <w:pPr>
        <w:spacing w:after="0" w:line="24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bookmarkStart w:id="0" w:name="_GoBack"/>
      <w:bookmarkEnd w:id="0"/>
    </w:p>
    <w:p w:rsidR="00E57325" w:rsidRDefault="00E57325" w:rsidP="001A1A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</w:p>
    <w:p w:rsidR="00D33DB7" w:rsidRPr="00D33DB7" w:rsidRDefault="00D33DB7" w:rsidP="001A1A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Додаток 1</w:t>
      </w:r>
    </w:p>
    <w:p w:rsidR="00D33DB7" w:rsidRPr="00D33DB7" w:rsidRDefault="00D33DB7" w:rsidP="001A1A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до Положення</w:t>
      </w:r>
    </w:p>
    <w:p w:rsidR="00D33DB7" w:rsidRPr="00D33DB7" w:rsidRDefault="00D33DB7" w:rsidP="001A1A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про ресурсну кімнату</w:t>
      </w:r>
    </w:p>
    <w:p w:rsidR="00D33DB7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п.3.1</w:t>
      </w:r>
      <w:r w:rsidR="001A1A68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Обладнання для ресурсної кімнати</w:t>
      </w:r>
    </w:p>
    <w:p w:rsidR="00E57325" w:rsidRPr="00D33DB7" w:rsidRDefault="00D33DB7" w:rsidP="00D3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(витяг з Типового переліку спеціальних засобів корекції психофізичного розвитку дітей з особливими освітніми потребами, які навчаються в</w:t>
      </w:r>
      <w:r w:rsidR="00E57325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 xml:space="preserve"> </w:t>
      </w:r>
      <w:r w:rsidRPr="00D33DB7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інклюзивних та спеціальних класах закладів загальної середньої освіти, затвердженого наказом МОН України 23.04.2018 № 414, розділ ХІ)</w:t>
      </w:r>
    </w:p>
    <w:tbl>
      <w:tblPr>
        <w:tblW w:w="14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616"/>
      </w:tblGrid>
      <w:tr w:rsidR="00D33DB7" w:rsidRPr="00D33DB7" w:rsidTr="00E57325">
        <w:tc>
          <w:tcPr>
            <w:tcW w:w="2340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1. Меблі, технічне обладнання</w:t>
            </w:r>
          </w:p>
        </w:tc>
        <w:tc>
          <w:tcPr>
            <w:tcW w:w="1261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1.1. Меблі: шафа комбінована (1500×800×1664 мм) - 1 шт.; шафа (1000×400×1664 мм) - 2 шт.; пенал кухонний (360×600×210 мм) - 2 шт.; секція кухонна з мийкою (500×600×900 мм) - 1 шт.; секція кухонна нижня (500×600×900 мм) - 2 шт.; секція кухонна верхня (500×32×700 мм) - 3 шт.; стіл для приймання їжі - 2 шт.; стіл учнівський (1200×500×750 мм) - 4 шт.; комплект кухонний (стільниця (1500×600 мм) - 1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шт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; робоча панель кухонна 1500×500 мм - 1 шт.); тумба для технічних засобів навчання (600×430×900 мм) - 1 шт.; стільці учнівські - 8 шт.; крісло-груша - 2 шт.</w:t>
            </w:r>
          </w:p>
        </w:tc>
      </w:tr>
      <w:tr w:rsidR="00D33DB7" w:rsidRPr="00D33DB7" w:rsidTr="00E57325">
        <w:tc>
          <w:tcPr>
            <w:tcW w:w="2340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</w:p>
        </w:tc>
        <w:tc>
          <w:tcPr>
            <w:tcW w:w="1261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1.2. Технічне обладнання: ноутбук; дошка-екран жорстка, магнітно-маркерна 125×160 см; проектор + інтерактивний сенсорний модуль; акустична система 2.0, деревина (MDF), 2×10 Вт (RMS); Wi-Fi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Wireless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Router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; комплект для монтажу мультимедійного комплексу для КФ - проекторів (на стіну); інтерактивний блок;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електрочайник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; мікрохвильова піч</w:t>
            </w:r>
          </w:p>
        </w:tc>
      </w:tr>
      <w:tr w:rsidR="00D33DB7" w:rsidRPr="00D33DB7" w:rsidTr="00E57325">
        <w:tc>
          <w:tcPr>
            <w:tcW w:w="2340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</w:p>
        </w:tc>
        <w:tc>
          <w:tcPr>
            <w:tcW w:w="1261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1.3. Додаткове обладнання: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м'яч-фітбол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 - 2 шт.; </w:t>
            </w:r>
            <w:proofErr w:type="spellStart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>килимок-пазл</w:t>
            </w:r>
            <w:proofErr w:type="spellEnd"/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18"/>
                <w:lang w:eastAsia="uk-UA"/>
              </w:rPr>
              <w:t xml:space="preserve"> - 2 шт.; килим для організації ігрової діяльності дітей - 1 шт.; іграшки дитячі, конструктори; комплект терапевтичних м'ячиків; дошки для повзання та катання; батут; обладнання для піскової терапії (стіл для ігор з піском та водою, піддони для піску, дерев'яна пісочниця на ніжках, підсвічення, кінетичний пісок різного кольору, пісок для піскової терапії, дрібні іграшки з різних класифікаційних груп); література; канцтовари тощо. Приміщення ресурсної кімнати може бути поділено за допомогою стаціонарної або мобільної перегородки на дві зони - навчально-пізнавальну та ігрову. У навчально-пізнавальній зоні може здійснюватися процес навчання дітей з особливими освітніми потребами у групах або індивідуально. В ігровій зоні створюється простір, який сприятиме покращенню психоемоційного стану дітей, зниженню у них тривожності, агресії, нервового збудження тощо. * Для оснащення ресурсної кімнати може використовуватись обладнання з усіх розділів цього Типового переліку</w:t>
            </w:r>
          </w:p>
        </w:tc>
      </w:tr>
    </w:tbl>
    <w:p w:rsidR="00D33DB7" w:rsidRPr="00E57325" w:rsidRDefault="00D33DB7" w:rsidP="00E57325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E57325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Додаток 2</w:t>
      </w:r>
    </w:p>
    <w:p w:rsidR="00D33DB7" w:rsidRPr="00E57325" w:rsidRDefault="00D33DB7" w:rsidP="00E57325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</w:pPr>
      <w:r w:rsidRPr="00E57325">
        <w:rPr>
          <w:rFonts w:ascii="Times New Roman" w:eastAsia="Times New Roman" w:hAnsi="Times New Roman" w:cs="Times New Roman"/>
          <w:color w:val="464645"/>
          <w:sz w:val="28"/>
          <w:szCs w:val="28"/>
          <w:lang w:eastAsia="uk-UA"/>
        </w:rPr>
        <w:t>Форма інвентарної книги</w:t>
      </w:r>
    </w:p>
    <w:tbl>
      <w:tblPr>
        <w:tblW w:w="14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848"/>
        <w:gridCol w:w="2932"/>
        <w:gridCol w:w="2127"/>
        <w:gridCol w:w="3260"/>
        <w:gridCol w:w="4394"/>
      </w:tblGrid>
      <w:tr w:rsidR="00D33DB7" w:rsidRPr="00E57325" w:rsidTr="00E57325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Назва предмета</w:t>
            </w:r>
          </w:p>
        </w:tc>
        <w:tc>
          <w:tcPr>
            <w:tcW w:w="2932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Інвентарний номер</w:t>
            </w:r>
          </w:p>
        </w:tc>
        <w:tc>
          <w:tcPr>
            <w:tcW w:w="2127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Коли придбано</w:t>
            </w:r>
          </w:p>
        </w:tc>
        <w:tc>
          <w:tcPr>
            <w:tcW w:w="3260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Кількість і вартість</w:t>
            </w:r>
          </w:p>
        </w:tc>
        <w:tc>
          <w:tcPr>
            <w:tcW w:w="4394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</w:pPr>
            <w:r w:rsidRPr="00E57325">
              <w:rPr>
                <w:rFonts w:ascii="Times New Roman" w:eastAsia="Times New Roman" w:hAnsi="Times New Roman" w:cs="Times New Roman"/>
                <w:color w:val="535353"/>
                <w:sz w:val="24"/>
                <w:szCs w:val="28"/>
                <w:lang w:eastAsia="uk-UA"/>
              </w:rPr>
              <w:t>Час і причина списання</w:t>
            </w:r>
          </w:p>
        </w:tc>
      </w:tr>
      <w:tr w:rsidR="00D33DB7" w:rsidRPr="00E57325" w:rsidTr="00E57325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  <w:tc>
          <w:tcPr>
            <w:tcW w:w="2932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3DB7" w:rsidRPr="00E57325" w:rsidRDefault="00D33DB7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7325" w:rsidRPr="00E57325" w:rsidRDefault="00E57325" w:rsidP="00D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uk-UA"/>
              </w:rPr>
            </w:pPr>
          </w:p>
        </w:tc>
      </w:tr>
    </w:tbl>
    <w:p w:rsidR="00B171EA" w:rsidRPr="00E57325" w:rsidRDefault="00B171EA" w:rsidP="00D33DB7">
      <w:pPr>
        <w:rPr>
          <w:rFonts w:ascii="Times New Roman" w:hAnsi="Times New Roman" w:cs="Times New Roman"/>
          <w:sz w:val="28"/>
          <w:szCs w:val="28"/>
        </w:rPr>
      </w:pPr>
    </w:p>
    <w:p w:rsidR="00E57325" w:rsidRDefault="00E57325" w:rsidP="00D33DB7"/>
    <w:sectPr w:rsidR="00E57325" w:rsidSect="003E3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86"/>
    <w:multiLevelType w:val="hybridMultilevel"/>
    <w:tmpl w:val="16062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304"/>
    <w:multiLevelType w:val="hybridMultilevel"/>
    <w:tmpl w:val="72FCCDAC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345428E"/>
    <w:multiLevelType w:val="hybridMultilevel"/>
    <w:tmpl w:val="121C4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A0782"/>
    <w:multiLevelType w:val="hybridMultilevel"/>
    <w:tmpl w:val="65144C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87"/>
    <w:multiLevelType w:val="hybridMultilevel"/>
    <w:tmpl w:val="98CE9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336A"/>
    <w:multiLevelType w:val="hybridMultilevel"/>
    <w:tmpl w:val="53DE0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E0AE5"/>
    <w:multiLevelType w:val="hybridMultilevel"/>
    <w:tmpl w:val="4C0A6A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34DCA"/>
    <w:multiLevelType w:val="hybridMultilevel"/>
    <w:tmpl w:val="FB7665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50635"/>
    <w:multiLevelType w:val="hybridMultilevel"/>
    <w:tmpl w:val="8506B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22F88"/>
    <w:multiLevelType w:val="hybridMultilevel"/>
    <w:tmpl w:val="7E1E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4C7F"/>
    <w:multiLevelType w:val="hybridMultilevel"/>
    <w:tmpl w:val="CA72EE06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6"/>
    <w:rsid w:val="0007209F"/>
    <w:rsid w:val="001A1A68"/>
    <w:rsid w:val="00213F51"/>
    <w:rsid w:val="003E3DFC"/>
    <w:rsid w:val="005525FE"/>
    <w:rsid w:val="00775DF3"/>
    <w:rsid w:val="00B171EA"/>
    <w:rsid w:val="00D33DB7"/>
    <w:rsid w:val="00DA58B6"/>
    <w:rsid w:val="00E57325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8905</Words>
  <Characters>5076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2021-11-03T08:28:00Z</cp:lastPrinted>
  <dcterms:created xsi:type="dcterms:W3CDTF">2021-10-22T21:56:00Z</dcterms:created>
  <dcterms:modified xsi:type="dcterms:W3CDTF">2021-11-03T08:31:00Z</dcterms:modified>
</cp:coreProperties>
</file>