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384"/>
        <w:gridCol w:w="105"/>
        <w:gridCol w:w="117"/>
        <w:gridCol w:w="3373"/>
        <w:gridCol w:w="102"/>
        <w:gridCol w:w="30"/>
        <w:gridCol w:w="2807"/>
        <w:gridCol w:w="6755"/>
      </w:tblGrid>
      <w:tr>
        <w:trPr>
          <w:trHeight w:val="812" w:hRule="atLeast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6"/>
                <w:szCs w:val="24"/>
                <w:u w:val="single"/>
              </w:rPr>
              <w:t>Напрям 2. Система оцінювання результатів навчання учнів</w:t>
            </w:r>
          </w:p>
        </w:tc>
      </w:tr>
      <w:tr>
        <w:trPr>
          <w:trHeight w:val="940" w:hRule="atLeast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Напрям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оцінювання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Індикатор оцінювання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Методи збору інформації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Результат оцінювання</w:t>
            </w:r>
            <w:bookmarkStart w:id="0" w:name="_GoBack"/>
            <w:bookmarkEnd w:id="0"/>
          </w:p>
        </w:tc>
      </w:tr>
      <w:tr>
        <w:trPr>
          <w:trHeight w:val="272" w:hRule="atLeast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2"/>
                <w:szCs w:val="24"/>
              </w:rPr>
              <w:t>Вимога 2.1. Наявність системи оцінювання результатів навчання учнів, яка забезпечує справедливе, неупереджене, об'єктивне та доброчесне оцінювання.</w:t>
            </w:r>
          </w:p>
        </w:tc>
      </w:tr>
      <w:tr>
        <w:trPr>
          <w:trHeight w:val="120" w:hRule="atLeast"/>
        </w:trPr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2.1.1. Учні отримують від педагогічних працівників інформацію про критерії, правила та процедури оцінювання результатів навчання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2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.1.1.1. У закладі оприлюднюються критерії, правила та процедури оцінювання результатів навчання учнів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6"/>
                <w:szCs w:val="24"/>
                <w:u w:val="single"/>
              </w:rPr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2.1.1.1. Вивчення документації.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Спостереження (навчальне заняття).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Опитування (інтерв'ю із заступником керівника, анкетування батьків, педагогічних працівників, самоаналіз учителями власної педагогічної діяльності)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Освітня програма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Миколаївської ЗОШ І — ІІІ ступенів №1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містить опис критеріїв оцінювання. Критерії, правила та процедури оцінювання навчальних досягнень учнів оприлюднено на сайті школи (Розділ «Нормативні документи»). У кожному навчальному кабінеті є папка «Критерії оцінювання» з кожного предмета. Усі педагогічні працівники у папці з календарно-тематичним плануванням мають критерії оцінювання з предмета, який вони викладають.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Переважна більшість (100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%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)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педагогічних працівників зазначають, що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інформують здобувачів освіти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про критерії, правила та процедури оцінювання результатів навчання. Це підтверджують результати опитування батьків (82%). Спостереження за навчальними заняттями показало, що більшість педагогів інформують учнів про критерії оцінювання їхніх досягнень. Хоча педагоги в основному використовують критерії оцінювання затвердженні МОН, лише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31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%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самостійно розробляють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критерії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оцінювання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відповідно до різних видів робіт.</w:t>
            </w:r>
          </w:p>
        </w:tc>
      </w:tr>
      <w:tr>
        <w:trPr>
          <w:trHeight w:val="120" w:hRule="atLeast"/>
        </w:trPr>
        <w:tc>
          <w:tcPr>
            <w:tcW w:w="26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6"/>
                <w:szCs w:val="24"/>
                <w:u w:val="single"/>
              </w:rPr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2.1.1.2. Частка учнів, які в закладі освіти отримують інформацію про критерії, правила та процедури оцінювання результатів навчання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2.1.1.2.Опитування (анкетування учнів)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Більшість здобувачів освіти отримують інформацію про критерії, правила та процедури оцінювання навчальних досягнень від педагогічних працівників (84%): 59% учнів –  отримують на початку навчального року;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31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% учнів – отримують під час виконання різних видів робіт на заняттях, 10% - отримують, але тільки, у разі звернення до вчителя;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% не отримують, навіть у разі звернення до вчителя.</w:t>
            </w:r>
          </w:p>
        </w:tc>
      </w:tr>
      <w:tr>
        <w:trPr>
          <w:trHeight w:val="4965" w:hRule="atLeast"/>
        </w:trPr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2.1.2. Система оцінювання результатів навчання учнів у закладі освіти сприяє реалізації компетентнісного підходу до навчання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2.1.2.1. Частка педагогічних працівників, які застосовують систему оцінювання результатів навчання учнів, спрямовану на реалізацію компетентнісного підходу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2.1.2.1.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Спостереження (навчальне заняття)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Спостереження за навчальним заняттям показало, що 74% педагогічних працівників здійснюють оцінювання на основі цілей та критеріїв, 51% - здійснюють формувальне оцінювання, 67% - задають практико – орієнтовані завдання; 76% - надають учням можливість вибору. Отже, можна зробити висновок, що більшість педагогічних працівників застосовують систему оцінювання результатів навчання учнів спрямовану на реалізацію компетентнісного підходу.</w:t>
            </w:r>
          </w:p>
        </w:tc>
      </w:tr>
      <w:tr>
        <w:trPr>
          <w:trHeight w:val="841" w:hRule="atLeast"/>
        </w:trPr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2.1.3.Учні вважають оцінювання результатів навчання справедливим,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неупередженим, об’єктивним, доброчесним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2.1.3.1. Частка учнів, які вважають оцінювання результатів їх навчання в закладі освіти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справедливим, неупередженим, об’єктивним, доброчесним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  <w:u w:val="single"/>
              </w:rPr>
              <w:t>Анкетування батьків, учнів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78 % учнів у більшості випадків оцінювання вважають справедливим, об’єктивним, доброчесним; 1,8% опитаних вважають оцінювання несправедливим у більшості випадків; 0% оцінюють несправедливо. 86% батьків вважають, що учителі справедливо оцінюють досягнення здобувачів освіти; 14% - іноді. Отже, переважна більшість учнів вважають оцінювання результатів навчання справедливим, об’єктивним, неупередженим та доброчесним.</w:t>
            </w:r>
          </w:p>
        </w:tc>
      </w:tr>
      <w:tr>
        <w:trPr>
          <w:trHeight w:val="558" w:hRule="atLeast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2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2"/>
                <w:szCs w:val="28"/>
              </w:rPr>
              <w:t>Вимога 2.2.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</w:tr>
      <w:tr>
        <w:trPr>
          <w:trHeight w:val="80" w:hRule="atLeast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2.2.1. У закладі освіти здійснюється аналіз результатів навчання учнів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2.2.1.1. У закладі освіти систематично проводяться відстеження результатів навчання учнів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2.2.1.1. Вивчення документації.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У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Миколаївській ЗОШ І — ІІІ ступенів №1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систематично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провод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ться відстеження результатів навчання учнів (моніторинг)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двічі на рік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, результати моніторингів розглядаються на засіданнях педагогічної ради та визначаються чіткі шляхи покращення (протоколи засідань педагогічної ради № 4 від12.01.2022 та накази керівника),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аналізується семестрове та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річне оцінювання з предметів інваріант ної складової. За результатами спостережень моніторингу видаються накази по школі. Матеріали узагальнюються та їх результати обговорюються з педагогами.</w:t>
            </w:r>
          </w:p>
        </w:tc>
      </w:tr>
      <w:tr>
        <w:trPr>
          <w:trHeight w:val="5522" w:hRule="atLeast"/>
        </w:trPr>
        <w:tc>
          <w:tcPr>
            <w:tcW w:w="2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36"/>
                <w:szCs w:val="24"/>
                <w:u w:val="single"/>
              </w:rPr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8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.2.1.2. За результатами відстеження здійснюється аналіз результатів навчання учнів, приймаються рішення щодо надання їм підтримки в освітньому процесі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2.2.1.2. Опитування (опитувальний аркуш керівника, інтерв’ю із заступником керівника), вивчення документації.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Аналіз протоколів засідань педагогічної ради та наказів директора свідчить, що процедура підготовки та проведення моніторингу конкретизована (розроблено та оприлюднено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П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оложення про моніторинг), результати моніторингів враховуються для прогнозування подальшого розвитку освітнього процесу (слухалося питання про стан успішності учнів, які за результатами попереднього річного оцінювання мають низький рівень знань з окремих предметів; про результати підсумкових контрольних робіт з предметів інваріантної складової частини навчального плану у 5-11 класах за І семестр 2021-2022 навчального року). У річному плані закладу освіти на 2021  - 2022 н.р. заплановано заходи щодо проведення моніторингів. Результати моніторингу оприлюднено на сайті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у вигляді графіків та діаграм.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1592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2.2.2. У закладі освіти впроваджується система формувального оцінювання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2.2.2.1. Педагогічні працівники за допомогою оцінювання відстежують особистісний поступ учнів,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2.2.2.1.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Спостереження (навчальне заняття).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Опитування (інтерв’ю із заступником керівника, анкетування учнів, педагогічних працівників, самоаналіз вчителями власної педагогічної діяльності)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Вивчення педагогічної діяльності показало, що педагогічні працівники застосовують вербальне оцінювання учнів у 1 – 4 класів, важливим інформаційним джерелом щодо вивчення досягнень учнів початкової школи є учнівське портфоліо та свідоцтво досягнень. Для оцінювання учнів базової та старшої школи вчителі використовують переважно лише бальне оцінювання. Хоча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60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% вчителів 5 - 11 класів стверджують, що використовують формувальне оцінювання здобувачів освіти, стараються відстежувати у своїй роботі особистісний поступ учнів. Результати опитування здобувачів освіти засвідчили, що більшість із них отримує зворотний зв’язок від учителів у різних формах. Вони вважають, що у школі оцінюють навчальні досягнення учнів з метою: 56,7% учнів – визначення рівня знань, умінь і навичок; 33,3% учнів – відстеження індивідуального прогресу; 10% учнів – для відтворення матеріалу підручника; 0% учнів – мені невідомо з якою метою; 0% учнів – оцінка використовується як інструмент покарання. Більшість вчителів за допомогою оцінювання відстежують особистісний поступ здобувачів освіти, формують в них позитивну самооцінку, відзначають досягнення, підтримують бажання вчитися, запобігають побоюванням помилитися.</w:t>
            </w:r>
          </w:p>
        </w:tc>
      </w:tr>
      <w:tr>
        <w:trPr>
          <w:trHeight w:val="564" w:hRule="atLeast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Вимога 2.3.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</w:tr>
      <w:tr>
        <w:trPr>
          <w:trHeight w:val="564" w:hRule="atLeast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2.3.1. Заклад освіти сприяє формуванню в учнів</w:t>
            </w:r>
            <w:r>
              <w:rPr>
                <w:rFonts w:eastAsia="Times New Roman" w:cs="Times New Roman"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відповідального ставлення до результатів навчання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2.3.1.1. Педагогічні працівники надають учням необхідну допомогу в навчальній діяльності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2.3.1.1. Опитування (анкетування учнів, педагогічних працівників)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Майже всі учні з опитаних стверджують, що вчителі підтримують, допомагають і вірять в їхній успіх: 76,6 %  - стверджують, що вчителі підтримують їх, 83,3% - вірять в них та їх сили, 86,6% - учителі їх поважають, 83,3% - на моє прохання вчителі мені допомагають. За результатами опитування 85 % учителів вважають, що надають підтримку учням.</w:t>
            </w:r>
          </w:p>
        </w:tc>
      </w:tr>
      <w:tr>
        <w:trPr>
          <w:trHeight w:val="560" w:hRule="atLeast"/>
        </w:trPr>
        <w:tc>
          <w:tcPr>
            <w:tcW w:w="2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Cs w:val="24"/>
              </w:rPr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2.3.1.2. Частка учнів, які відповідально ставляться до процесу навчання, оволодіння освітньою програмою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2.3.1.2. Спостереження (навчальне заняття).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Опитування (анкетування учнів)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73,3% опитаних учнів стверджують, що відповідально ставляться до отримання знань, усвідомлюють їх важливість для подальшого життя, проте 16,7% зазначають, що освітній процес не сприяє відповідальному ставленню до навчання. 85,7% школярів вважають, що результат навчання залежить виключно від їхньої праці, 6,2% учнів – від особистої праці та батьків, які мотивують до навчання; 43,3% учнів – від рівня викладання; 6,7 % - від однокласників, які допомагатимуть на уроках та з домашніми завданнями; 6,8% - від погодних умов; 6,7% - від обладнання та інтер’єру школи.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Слід зазначити, що формуванню у здобувачів освіти відповідального ставлення до результатів навчання сприяє робота учнівського самоврядування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, яке організовує різноманітні заходи, благодійні концерти та ярмарки. Систематично проводиться профорієнтація. У закладі освіти розроблено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П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оложення про академічну доброчесність. Спостереження за навчальними заняттям показало, що педагогічні працівники використовують вправи, які унеможливлюють списування.</w:t>
            </w:r>
          </w:p>
        </w:tc>
      </w:tr>
      <w:tr>
        <w:trPr>
          <w:trHeight w:val="558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  <w:u w:val="single"/>
              </w:rPr>
              <w:t>2.3.2. Заклад освіти забезпечує самооцінювання та взаємооцінювання результатів навчання учнів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4"/>
              </w:rPr>
              <w:t>2.3.2.1. Педагогічні працівники в системі оцінювання результатів навчання учнів використовують прийоми самооцінювання та взаємооцінювання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2.3.2.1. Спостереження (навчальне заняття).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4"/>
              </w:rPr>
              <w:t>Опитування (інтерв’ю із заступником керівника, анкетування учнів, педагогічних працівників)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Згідно з результатами анкетування 33,3% учнів зазначають, що самооцінювання проводиться дуже рідко, 43,3% – що здебільшого, і тільки 20 % – так, постійно, 3,2% - ніколи. З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 результатами анкетування педагогічних працівників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49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% вчителів зазначають, що практикують самооцінювання, і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41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 xml:space="preserve">% – взаємооцінювання, лише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60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% опитаних застосовують прийоми формувального оцінювання.</w:t>
            </w:r>
          </w:p>
          <w:p>
            <w:pPr>
              <w:pStyle w:val="Normal"/>
              <w:widowControl w:val="false"/>
              <w:pBdr/>
              <w:spacing w:lineRule="auto" w:line="360" w:before="120" w:after="200"/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Водночас, аналізуючи спостереження за навчальними заняттями, можна зазначити, що більш ніж половина  вчителів застосовують прийоми самооцінювання та взаємооцінювання учнів. Це свідчить, що система оцінювання здобувачів освіти лише частково забезпечує формування в учнів відповідальності за результати свого навчання, здатності до самооцінювання.</w:t>
            </w:r>
          </w:p>
        </w:tc>
      </w:tr>
    </w:tbl>
    <w:p>
      <w:pPr>
        <w:pStyle w:val="Normal"/>
        <w:widowControl w:val="false"/>
        <w:pBdr/>
        <w:spacing w:lineRule="auto" w:line="360" w:before="120" w:after="200"/>
        <w:rPr>
          <w:rFonts w:ascii="Times New Roman" w:hAnsi="Times New Roman" w:eastAsia="Times New Roman" w:cs="Times New Roman"/>
          <w:b/>
          <w:b/>
          <w:iCs/>
          <w:sz w:val="36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Cs/>
          <w:sz w:val="36"/>
          <w:szCs w:val="24"/>
          <w:u w:val="single"/>
        </w:rPr>
        <w:t>Рівні оцінювання:</w:t>
      </w:r>
    </w:p>
    <w:tbl>
      <w:tblPr>
        <w:tblStyle w:val="a6"/>
        <w:tblW w:w="14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4"/>
        <w:gridCol w:w="7393"/>
      </w:tblGrid>
      <w:tr>
        <w:trPr/>
        <w:tc>
          <w:tcPr>
            <w:tcW w:w="7394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Вимога/правило</w:t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</w:r>
          </w:p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Рівень освітньої діяльності</w:t>
            </w:r>
          </w:p>
        </w:tc>
      </w:tr>
      <w:tr>
        <w:trPr/>
        <w:tc>
          <w:tcPr>
            <w:tcW w:w="7394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2.1</w:t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Достатній рівень</w:t>
            </w:r>
          </w:p>
        </w:tc>
      </w:tr>
      <w:tr>
        <w:trPr/>
        <w:tc>
          <w:tcPr>
            <w:tcW w:w="7394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2.2</w:t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Достатній рівень</w:t>
            </w:r>
          </w:p>
        </w:tc>
      </w:tr>
      <w:tr>
        <w:trPr/>
        <w:tc>
          <w:tcPr>
            <w:tcW w:w="7394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2.3</w:t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Вимагає покращення</w:t>
            </w:r>
          </w:p>
        </w:tc>
      </w:tr>
      <w:tr>
        <w:trPr/>
        <w:tc>
          <w:tcPr>
            <w:tcW w:w="7394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За напрямом 2</w:t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spacing w:lineRule="auto" w:line="360" w:before="120" w:after="20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sz w:val="36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36"/>
                <w:szCs w:val="24"/>
                <w:u w:val="single"/>
                <w:lang w:bidi="ar-SA"/>
              </w:rPr>
              <w:t>Достатній рівень</w:t>
            </w:r>
          </w:p>
        </w:tc>
      </w:tr>
    </w:tbl>
    <w:p>
      <w:pPr>
        <w:pStyle w:val="Normal"/>
        <w:widowControl w:val="false"/>
        <w:pBdr/>
        <w:spacing w:lineRule="auto" w:line="360" w:before="120" w:after="200"/>
        <w:rPr>
          <w:rFonts w:ascii="Times New Roman" w:hAnsi="Times New Roman" w:eastAsia="Times New Roman" w:cs="Times New Roman"/>
          <w:b/>
          <w:b/>
          <w:iCs/>
          <w:sz w:val="36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Cs/>
          <w:sz w:val="36"/>
          <w:szCs w:val="24"/>
          <w:u w:val="single"/>
        </w:rPr>
      </w:r>
    </w:p>
    <w:p>
      <w:pPr>
        <w:pStyle w:val="Normal"/>
        <w:widowControl w:val="false"/>
        <w:pBdr/>
        <w:spacing w:lineRule="auto" w:line="360" w:before="120" w:after="200"/>
        <w:rPr>
          <w:rFonts w:ascii="Times New Roman" w:hAnsi="Times New Roman" w:eastAsia="Times New Roman" w:cs="Times New Roman"/>
          <w:b/>
          <w:b/>
          <w:iCs/>
          <w:sz w:val="36"/>
          <w:szCs w:val="24"/>
          <w:u w:val="single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349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uk-UA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36471"/>
    <w:pPr>
      <w:keepNext w:val="true"/>
      <w:keepLines/>
      <w:spacing w:lineRule="auto" w:line="240" w:before="120" w:after="120"/>
      <w:ind w:left="227" w:hanging="0"/>
      <w:outlineLvl w:val="2"/>
    </w:pPr>
    <w:rPr>
      <w:rFonts w:ascii="Times New Roman" w:hAnsi="Times New Roman" w:eastAsia="Arial" w:cs="Arial"/>
      <w:b/>
      <w:color w:val="8496B0" w:themeColor="text2" w:themeTint="99"/>
      <w:sz w:val="20"/>
      <w:szCs w:val="24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436471"/>
    <w:pPr>
      <w:keepNext w:val="true"/>
      <w:keepLines/>
      <w:spacing w:lineRule="auto" w:line="240" w:before="0" w:after="0"/>
      <w:ind w:left="340" w:hanging="0"/>
      <w:outlineLvl w:val="3"/>
    </w:pPr>
    <w:rPr>
      <w:rFonts w:ascii="Times New Roman" w:hAnsi="Times New Roman" w:eastAsia="Arial" w:cs="Arial"/>
      <w:color w:val="323E4F" w:themeColor="text2" w:themeShade="bf"/>
      <w:sz w:val="1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436471"/>
    <w:rPr>
      <w:rFonts w:ascii="Times New Roman" w:hAnsi="Times New Roman" w:eastAsia="Arial" w:cs="Arial"/>
      <w:b/>
      <w:color w:val="8496B0" w:themeColor="text2" w:themeTint="99"/>
      <w:sz w:val="20"/>
      <w:lang w:val="uk-UA" w:eastAsia="uk-UA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36471"/>
    <w:rPr>
      <w:rFonts w:ascii="Times New Roman" w:hAnsi="Times New Roman" w:eastAsia="Arial" w:cs="Arial"/>
      <w:color w:val="323E4F" w:themeColor="text2" w:themeShade="bf"/>
      <w:sz w:val="18"/>
      <w:lang w:val="uk-UA" w:eastAsia="uk-UA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86af1"/>
    <w:rPr>
      <w:rFonts w:ascii="Segoe UI" w:hAnsi="Segoe UI" w:eastAsia="Calibri" w:cs="Segoe UI"/>
      <w:sz w:val="18"/>
      <w:szCs w:val="18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3493"/>
    <w:pPr>
      <w:spacing w:before="0" w:after="200"/>
      <w:ind w:left="720" w:hanging="0"/>
      <w:contextualSpacing/>
    </w:pPr>
    <w:rPr/>
  </w:style>
  <w:style w:type="paragraph" w:styleId="42" w:customStyle="1">
    <w:name w:val="4. Коментар до запитання"/>
    <w:basedOn w:val="Normal"/>
    <w:qFormat/>
    <w:rsid w:val="001509f6"/>
    <w:pPr>
      <w:widowControl w:val="false"/>
      <w:spacing w:lineRule="auto" w:line="360" w:before="120" w:after="120"/>
    </w:pPr>
    <w:rPr>
      <w:rFonts w:ascii="Times New Roman" w:hAnsi="Times New Roman" w:eastAsia="Times New Roman" w:cs="Times New Roman"/>
      <w:sz w:val="18"/>
      <w:szCs w:val="24"/>
    </w:rPr>
  </w:style>
  <w:style w:type="paragraph" w:styleId="Rvps2" w:customStyle="1">
    <w:name w:val="rvps2"/>
    <w:basedOn w:val="Normal"/>
    <w:qFormat/>
    <w:rsid w:val="00fa66a3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  <w:lang w:val="ru-RU"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86a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92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E212-7CF2-470F-8047-6CFC969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LibreOffice/7.2.2.2$Windows_X86_64 LibreOffice_project/02b2acce88a210515b4a5bb2e46cbfb63fe97d56</Application>
  <AppVersion>15.0000</AppVersion>
  <Pages>11</Pages>
  <Words>1250</Words>
  <Characters>9202</Characters>
  <CharactersWithSpaces>10413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2020-05-21T18:41:00Z</dcterms:created>
  <dc:creator>пользователь Microsoft Office</dc:creator>
  <dc:description/>
  <dc:language>uk-UA</dc:language>
  <cp:lastModifiedBy/>
  <cp:lastPrinted>2020-08-10T12:59:00Z</cp:lastPrinted>
  <dcterms:modified xsi:type="dcterms:W3CDTF">2022-02-08T11:38:35Z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